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FEB4" w14:textId="1C2E8549" w:rsidR="00073606" w:rsidRDefault="00073606" w:rsidP="00073606">
      <w:pPr>
        <w:pStyle w:val="paragraph"/>
        <w:spacing w:before="0" w:beforeAutospacing="0" w:after="0" w:afterAutospacing="0"/>
        <w:ind w:left="-284"/>
        <w:jc w:val="both"/>
        <w:textAlignment w:val="baseline"/>
        <w:rPr>
          <w:rFonts w:ascii="Helvetica" w:eastAsiaTheme="majorEastAsia" w:hAnsi="Helvetica"/>
          <w:b/>
          <w:bCs/>
          <w:shd w:val="clear" w:color="auto" w:fill="FFFFFF"/>
        </w:rPr>
      </w:pPr>
      <w:r>
        <w:rPr>
          <w:noProof/>
        </w:rPr>
        <w:drawing>
          <wp:inline distT="0" distB="0" distL="0" distR="0" wp14:anchorId="3FBBFF30" wp14:editId="4F656617">
            <wp:extent cx="6933346" cy="984924"/>
            <wp:effectExtent l="0" t="0" r="1270" b="5715"/>
            <wp:docPr id="1430638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933346" cy="984924"/>
                    </a:xfrm>
                    <a:prstGeom prst="rect">
                      <a:avLst/>
                    </a:prstGeom>
                  </pic:spPr>
                </pic:pic>
              </a:graphicData>
            </a:graphic>
          </wp:inline>
        </w:drawing>
      </w:r>
    </w:p>
    <w:p w14:paraId="50A02E07" w14:textId="77777777" w:rsidR="00073606" w:rsidRDefault="00073606" w:rsidP="00F11608">
      <w:pPr>
        <w:pStyle w:val="paragraph"/>
        <w:spacing w:before="0" w:beforeAutospacing="0" w:after="0" w:afterAutospacing="0"/>
        <w:jc w:val="both"/>
        <w:textAlignment w:val="baseline"/>
        <w:rPr>
          <w:rFonts w:ascii="Helvetica" w:eastAsiaTheme="majorEastAsia" w:hAnsi="Helvetica"/>
          <w:b/>
          <w:bCs/>
          <w:shd w:val="clear" w:color="auto" w:fill="FFFFFF"/>
        </w:rPr>
      </w:pPr>
    </w:p>
    <w:p w14:paraId="2547F020" w14:textId="77777777" w:rsidR="00876471" w:rsidRDefault="00876471" w:rsidP="00F11608">
      <w:pPr>
        <w:pStyle w:val="paragraph"/>
        <w:spacing w:before="0" w:beforeAutospacing="0" w:after="0" w:afterAutospacing="0"/>
        <w:jc w:val="both"/>
        <w:textAlignment w:val="baseline"/>
        <w:rPr>
          <w:rFonts w:ascii="Helvetica" w:eastAsiaTheme="majorEastAsia" w:hAnsi="Helvetica"/>
          <w:b/>
          <w:bCs/>
          <w:shd w:val="clear" w:color="auto" w:fill="FFFFFF"/>
          <w:lang w:val="en-US"/>
        </w:rPr>
      </w:pPr>
    </w:p>
    <w:p w14:paraId="4A0486CE" w14:textId="53D3CBB9" w:rsidR="00F11608" w:rsidRPr="00F11608" w:rsidRDefault="00F11608" w:rsidP="00F11608">
      <w:pPr>
        <w:pStyle w:val="paragraph"/>
        <w:spacing w:before="0" w:beforeAutospacing="0" w:after="0" w:afterAutospacing="0"/>
        <w:jc w:val="both"/>
        <w:textAlignment w:val="baseline"/>
        <w:rPr>
          <w:rFonts w:ascii="Helvetica" w:hAnsi="Helvetica" w:cs="Segoe UI"/>
          <w:b/>
          <w:bCs/>
          <w:sz w:val="22"/>
          <w:szCs w:val="22"/>
          <w:shd w:val="clear" w:color="auto" w:fill="FFFFFF"/>
          <w:lang w:val="en-US"/>
        </w:rPr>
      </w:pPr>
      <w:r w:rsidRPr="00F11608">
        <w:rPr>
          <w:rFonts w:ascii="Helvetica" w:eastAsiaTheme="majorEastAsia" w:hAnsi="Helvetica"/>
          <w:b/>
          <w:bCs/>
          <w:shd w:val="clear" w:color="auto" w:fill="FFFFFF"/>
          <w:lang w:val="en-US"/>
        </w:rPr>
        <w:t>Call for papers</w:t>
      </w:r>
      <w:r w:rsidR="009067C2">
        <w:rPr>
          <w:rFonts w:ascii="Helvetica" w:eastAsiaTheme="majorEastAsia" w:hAnsi="Helvetica"/>
          <w:b/>
          <w:bCs/>
          <w:shd w:val="clear" w:color="auto" w:fill="FFFFFF"/>
          <w:lang w:val="en-US"/>
        </w:rPr>
        <w:t xml:space="preserve"> </w:t>
      </w:r>
      <w:r w:rsidRPr="00F11608">
        <w:rPr>
          <w:rFonts w:ascii="Helvetica" w:eastAsiaTheme="majorEastAsia" w:hAnsi="Helvetica"/>
          <w:b/>
          <w:bCs/>
          <w:shd w:val="clear" w:color="auto" w:fill="FFFFFF"/>
          <w:lang w:val="en-US"/>
        </w:rPr>
        <w:t>and</w:t>
      </w:r>
      <w:r w:rsidR="009067C2">
        <w:rPr>
          <w:rFonts w:ascii="Helvetica" w:eastAsiaTheme="majorEastAsia" w:hAnsi="Helvetica"/>
          <w:b/>
          <w:bCs/>
          <w:shd w:val="clear" w:color="auto" w:fill="FFFFFF"/>
          <w:lang w:val="en-US"/>
        </w:rPr>
        <w:t xml:space="preserve"> </w:t>
      </w:r>
      <w:r w:rsidRPr="00F11608">
        <w:rPr>
          <w:rFonts w:ascii="Helvetica" w:eastAsiaTheme="majorEastAsia" w:hAnsi="Helvetica"/>
          <w:b/>
          <w:bCs/>
          <w:shd w:val="clear" w:color="auto" w:fill="FFFFFF"/>
          <w:lang w:val="en-US"/>
        </w:rPr>
        <w:t>portfolio submissions</w:t>
      </w:r>
    </w:p>
    <w:p w14:paraId="2AB4609B" w14:textId="5CBD34DC" w:rsidR="00F11608" w:rsidRPr="00F11608" w:rsidRDefault="00F11608" w:rsidP="00F11608">
      <w:pPr>
        <w:pStyle w:val="paragraph"/>
        <w:spacing w:before="0" w:beforeAutospacing="0" w:after="0" w:afterAutospacing="0"/>
        <w:jc w:val="both"/>
        <w:textAlignment w:val="baseline"/>
        <w:rPr>
          <w:rFonts w:ascii="Helvetica" w:hAnsi="Helvetica" w:cs="Segoe UI"/>
          <w:sz w:val="22"/>
          <w:szCs w:val="22"/>
          <w:shd w:val="clear" w:color="auto" w:fill="FFFFFF"/>
          <w:lang w:val="en-US"/>
        </w:rPr>
      </w:pPr>
    </w:p>
    <w:p w14:paraId="64EAF6FE" w14:textId="010A7201" w:rsidR="00F11608" w:rsidRPr="00F11608" w:rsidRDefault="00F11608" w:rsidP="00F11608">
      <w:pPr>
        <w:jc w:val="both"/>
        <w:rPr>
          <w:rFonts w:ascii="Helvetica" w:eastAsia="Times New Roman" w:hAnsi="Helvetica" w:cs="Segoe UI"/>
          <w:sz w:val="22"/>
          <w:szCs w:val="22"/>
          <w:shd w:val="clear" w:color="auto" w:fill="FFFFFF"/>
          <w:lang w:val="en-US" w:eastAsia="el-GR"/>
        </w:rPr>
      </w:pPr>
      <w:r w:rsidRPr="00F11608">
        <w:rPr>
          <w:rFonts w:ascii="Helvetica" w:eastAsia="Times New Roman" w:hAnsi="Helvetica"/>
          <w:sz w:val="22"/>
          <w:szCs w:val="22"/>
          <w:shd w:val="clear" w:color="auto" w:fill="FFFFFF"/>
          <w:lang w:val="en-US" w:eastAsia="el-GR"/>
        </w:rPr>
        <w:t>Time,</w:t>
      </w:r>
      <w:r w:rsidR="285DB7A0" w:rsidRPr="00F11608">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one of the</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dynamic aspects</w:t>
      </w:r>
      <w:r w:rsidR="1F699B82" w:rsidRPr="00F11608">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of existence and human creation,</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embodies</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duration and entails change. The decay that it imposes on matter reveals</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[the entities of]</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time and space as entangled,</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distinct</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an</w:t>
      </w:r>
      <w:bookmarkStart w:id="0" w:name="_GoBack"/>
      <w:bookmarkEnd w:id="0"/>
      <w:r w:rsidRPr="00F11608">
        <w:rPr>
          <w:rFonts w:ascii="Helvetica" w:eastAsia="Times New Roman" w:hAnsi="Helvetica"/>
          <w:sz w:val="22"/>
          <w:szCs w:val="22"/>
          <w:shd w:val="clear" w:color="auto" w:fill="FFFFFF"/>
          <w:lang w:val="en-US" w:eastAsia="el-GR"/>
        </w:rPr>
        <w:t>d indivisible forms of being.</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Whether the ruin represents a trauma or a</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cs="Segoe UI"/>
          <w:sz w:val="22"/>
          <w:szCs w:val="22"/>
          <w:shd w:val="clear" w:color="auto" w:fill="FFFFFF"/>
          <w:lang w:val="en-US" w:eastAsia="el-GR"/>
        </w:rPr>
        <w:t xml:space="preserve">sign of the imposition of nature on human traces, </w:t>
      </w:r>
      <w:r w:rsidRPr="00F11608">
        <w:rPr>
          <w:rFonts w:ascii="Helvetica" w:hAnsi="Helvetica"/>
          <w:sz w:val="22"/>
          <w:szCs w:val="22"/>
          <w:shd w:val="clear" w:color="auto" w:fill="FFFFFF"/>
          <w:lang w:val="en-US"/>
        </w:rPr>
        <w:t>constitutes</w:t>
      </w:r>
      <w:r w:rsidRPr="00F11608">
        <w:rPr>
          <w:rFonts w:ascii="Helvetica" w:eastAsia="Times New Roman" w:hAnsi="Helvetica" w:cs="Segoe UI"/>
          <w:sz w:val="22"/>
          <w:szCs w:val="22"/>
          <w:shd w:val="clear" w:color="auto" w:fill="FFFFFF"/>
          <w:lang w:val="en-US" w:eastAsia="el-GR"/>
        </w:rPr>
        <w:t xml:space="preserve"> a bridge of visual mediation and in many cases a carrier of "hidden pleasure".</w:t>
      </w:r>
    </w:p>
    <w:p w14:paraId="25126290" w14:textId="6DE89D5C" w:rsidR="00F11608" w:rsidRPr="00F11608" w:rsidRDefault="00F11608" w:rsidP="00F11608">
      <w:pPr>
        <w:jc w:val="both"/>
        <w:rPr>
          <w:rFonts w:ascii="Helvetica" w:eastAsia="Times New Roman" w:hAnsi="Helvetica"/>
          <w:sz w:val="22"/>
          <w:szCs w:val="22"/>
          <w:shd w:val="clear" w:color="auto" w:fill="FFFFFF"/>
          <w:lang w:val="en-US" w:eastAsia="el-GR"/>
        </w:rPr>
      </w:pPr>
      <w:r w:rsidRPr="00F11608">
        <w:rPr>
          <w:rFonts w:ascii="Helvetica" w:eastAsia="Times New Roman" w:hAnsi="Helvetica"/>
          <w:sz w:val="22"/>
          <w:szCs w:val="22"/>
          <w:shd w:val="clear" w:color="auto" w:fill="FFFFFF"/>
          <w:lang w:val="en-US" w:eastAsia="el-GR"/>
        </w:rPr>
        <w:t>George Simmel (1958: 380-381)[1]</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in his essay “The Ruin” describes this</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fa</w:t>
      </w:r>
      <w:r w:rsidR="4730847F" w:rsidRPr="00F11608">
        <w:rPr>
          <w:rFonts w:ascii="Helvetica" w:eastAsia="Times New Roman" w:hAnsi="Helvetica"/>
          <w:sz w:val="22"/>
          <w:szCs w:val="22"/>
          <w:shd w:val="clear" w:color="auto" w:fill="FFFFFF"/>
          <w:lang w:val="en-US" w:eastAsia="el-GR"/>
        </w:rPr>
        <w:t>s</w:t>
      </w:r>
      <w:r w:rsidRPr="00F11608">
        <w:rPr>
          <w:rFonts w:ascii="Helvetica" w:eastAsia="Times New Roman" w:hAnsi="Helvetica"/>
          <w:sz w:val="22"/>
          <w:szCs w:val="22"/>
          <w:shd w:val="clear" w:color="auto" w:fill="FFFFFF"/>
          <w:lang w:val="en-US" w:eastAsia="el-GR"/>
        </w:rPr>
        <w:t>cination</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towards</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decay</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as a dominating feeling that attracts us to a ruined building. The spectator, be it</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a flâneur, a pilgrim, an observer of historical evidence, a researcher of the act of ruining, an artist, experiences nostalgia, memory, continuity, anamnesis, artistic inspiration, attraction, awe, or the distancing</w:t>
      </w:r>
      <w:r w:rsidR="009067C2">
        <w:rPr>
          <w:rFonts w:ascii="Helvetica" w:eastAsia="Times New Roman" w:hAnsi="Helvetica"/>
          <w:sz w:val="22"/>
          <w:szCs w:val="22"/>
          <w:shd w:val="clear" w:color="auto" w:fill="FFFFFF"/>
          <w:lang w:val="en-US" w:eastAsia="el-GR"/>
        </w:rPr>
        <w:t xml:space="preserve"> </w:t>
      </w:r>
      <w:r w:rsidRPr="00F11608">
        <w:rPr>
          <w:rFonts w:ascii="Helvetica" w:eastAsia="Times New Roman" w:hAnsi="Helvetica"/>
          <w:sz w:val="22"/>
          <w:szCs w:val="22"/>
          <w:shd w:val="clear" w:color="auto" w:fill="FFFFFF"/>
          <w:lang w:val="en-US" w:eastAsia="el-GR"/>
        </w:rPr>
        <w:t>from the uncanny.[2]</w:t>
      </w:r>
    </w:p>
    <w:p w14:paraId="4D5C048E" w14:textId="167ECA41" w:rsidR="00F11608" w:rsidRPr="00F11608" w:rsidRDefault="00F11608" w:rsidP="00F11608">
      <w:pPr>
        <w:pStyle w:val="paragraph"/>
        <w:spacing w:before="0" w:beforeAutospacing="0" w:after="0" w:afterAutospacing="0"/>
        <w:jc w:val="both"/>
        <w:textAlignment w:val="baseline"/>
        <w:rPr>
          <w:rFonts w:ascii="Helvetica" w:hAnsi="Helvetica" w:cs="Segoe UI"/>
          <w:sz w:val="22"/>
          <w:szCs w:val="22"/>
          <w:shd w:val="clear" w:color="auto" w:fill="FFFFFF"/>
          <w:lang w:val="en-US"/>
        </w:rPr>
      </w:pPr>
    </w:p>
    <w:p w14:paraId="5E27980C" w14:textId="7DD19E0C" w:rsidR="00F11608" w:rsidRDefault="00F11608" w:rsidP="033323A7">
      <w:pPr>
        <w:pStyle w:val="paragraph"/>
        <w:spacing w:before="0" w:beforeAutospacing="0" w:after="0" w:afterAutospacing="0"/>
        <w:jc w:val="both"/>
        <w:textAlignment w:val="baseline"/>
        <w:rPr>
          <w:rFonts w:ascii="Helvetica" w:eastAsiaTheme="majorEastAsia" w:hAnsi="Helvetica" w:cstheme="minorBidi"/>
          <w:sz w:val="22"/>
          <w:szCs w:val="22"/>
          <w:shd w:val="clear" w:color="auto" w:fill="FFFFFF"/>
          <w:lang w:val="en-US"/>
        </w:rPr>
      </w:pPr>
      <w:r w:rsidRPr="033323A7">
        <w:rPr>
          <w:rFonts w:ascii="Helvetica" w:eastAsiaTheme="majorEastAsia" w:hAnsi="Helvetica" w:cstheme="minorBidi"/>
          <w:sz w:val="22"/>
          <w:szCs w:val="22"/>
          <w:shd w:val="clear" w:color="auto" w:fill="FFFFFF"/>
          <w:lang w:val="en-US"/>
        </w:rPr>
        <w:t>The first issue of</w:t>
      </w:r>
      <w:r w:rsidR="009067C2" w:rsidRPr="033323A7">
        <w:rPr>
          <w:rFonts w:ascii="Helvetica" w:eastAsiaTheme="majorEastAsia" w:hAnsi="Helvetica" w:cstheme="minorBidi"/>
          <w:sz w:val="22"/>
          <w:szCs w:val="22"/>
          <w:shd w:val="clear" w:color="auto" w:fill="FFFFFF"/>
          <w:lang w:val="en-US"/>
        </w:rPr>
        <w:t xml:space="preserve"> </w:t>
      </w:r>
      <w:r w:rsidR="002B6207" w:rsidRPr="033323A7">
        <w:rPr>
          <w:rFonts w:ascii="Helvetica" w:eastAsiaTheme="majorEastAsia" w:hAnsi="Helvetica" w:cstheme="minorBidi"/>
          <w:sz w:val="22"/>
          <w:szCs w:val="22"/>
          <w:shd w:val="clear" w:color="auto" w:fill="FFFFFF"/>
          <w:lang w:val="en-US"/>
        </w:rPr>
        <w:t>Design</w:t>
      </w:r>
      <w:r w:rsidR="702357AA" w:rsidRPr="033323A7">
        <w:rPr>
          <w:rFonts w:ascii="Helvetica" w:eastAsiaTheme="majorEastAsia" w:hAnsi="Helvetica" w:cstheme="minorBidi"/>
          <w:sz w:val="22"/>
          <w:szCs w:val="22"/>
          <w:shd w:val="clear" w:color="auto" w:fill="FFFFFF"/>
          <w:lang w:val="en-US"/>
        </w:rPr>
        <w:t xml:space="preserve"> |</w:t>
      </w:r>
      <w:r w:rsidR="00275529" w:rsidRPr="033323A7">
        <w:rPr>
          <w:rFonts w:ascii="Helvetica" w:eastAsiaTheme="majorEastAsia" w:hAnsi="Helvetica" w:cstheme="minorBidi"/>
          <w:sz w:val="22"/>
          <w:szCs w:val="22"/>
          <w:shd w:val="clear" w:color="auto" w:fill="FFFFFF"/>
          <w:lang w:val="en-US"/>
        </w:rPr>
        <w:t xml:space="preserve"> Arts </w:t>
      </w:r>
      <w:r w:rsidR="33F31FA1" w:rsidRPr="033323A7">
        <w:rPr>
          <w:rFonts w:ascii="Helvetica" w:eastAsiaTheme="majorEastAsia" w:hAnsi="Helvetica" w:cstheme="minorBidi"/>
          <w:sz w:val="22"/>
          <w:szCs w:val="22"/>
          <w:shd w:val="clear" w:color="auto" w:fill="FFFFFF"/>
          <w:lang w:val="en-US"/>
        </w:rPr>
        <w:t xml:space="preserve">| </w:t>
      </w:r>
      <w:r w:rsidR="00275529" w:rsidRPr="033323A7">
        <w:rPr>
          <w:rFonts w:ascii="Helvetica" w:eastAsiaTheme="majorEastAsia" w:hAnsi="Helvetica" w:cstheme="minorBidi"/>
          <w:sz w:val="22"/>
          <w:szCs w:val="22"/>
          <w:shd w:val="clear" w:color="auto" w:fill="FFFFFF"/>
          <w:lang w:val="en-US"/>
        </w:rPr>
        <w:t>Culture</w:t>
      </w:r>
      <w:r w:rsidR="002B6207" w:rsidRPr="033323A7">
        <w:rPr>
          <w:rFonts w:ascii="Helvetica" w:eastAsiaTheme="majorEastAsia" w:hAnsi="Helvetica" w:cstheme="minorBidi"/>
          <w:b/>
          <w:bCs/>
          <w:sz w:val="22"/>
          <w:szCs w:val="22"/>
          <w:shd w:val="clear" w:color="auto" w:fill="FFFFFF"/>
          <w:lang w:val="en-US"/>
        </w:rPr>
        <w:t xml:space="preserve"> (DAC)</w:t>
      </w:r>
      <w:r w:rsidRPr="033323A7">
        <w:rPr>
          <w:rFonts w:ascii="Helvetica" w:hAnsi="Helvetica" w:cstheme="minorBidi"/>
          <w:sz w:val="22"/>
          <w:szCs w:val="22"/>
          <w:shd w:val="clear" w:color="auto" w:fill="FFFFFF"/>
          <w:lang w:val="en-US"/>
        </w:rPr>
        <w:t xml:space="preserve"> </w:t>
      </w:r>
      <w:r w:rsidRPr="033323A7">
        <w:rPr>
          <w:rFonts w:ascii="Helvetica" w:eastAsiaTheme="majorEastAsia" w:hAnsi="Helvetica" w:cstheme="minorBidi"/>
          <w:sz w:val="22"/>
          <w:szCs w:val="22"/>
          <w:shd w:val="clear" w:color="auto" w:fill="FFFFFF"/>
          <w:lang w:val="en-US"/>
        </w:rPr>
        <w:t>focuses on the topic of</w:t>
      </w:r>
      <w:r w:rsidR="009067C2" w:rsidRPr="033323A7">
        <w:rPr>
          <w:rFonts w:ascii="Helvetica" w:eastAsiaTheme="majorEastAsia" w:hAnsi="Helvetica" w:cstheme="minorBidi"/>
          <w:sz w:val="22"/>
          <w:szCs w:val="22"/>
          <w:shd w:val="clear" w:color="auto" w:fill="FFFFFF"/>
          <w:lang w:val="en-US"/>
        </w:rPr>
        <w:t xml:space="preserve"> “</w:t>
      </w:r>
      <w:r w:rsidRPr="033323A7">
        <w:rPr>
          <w:rFonts w:ascii="Helvetica" w:eastAsiaTheme="majorEastAsia" w:hAnsi="Helvetica" w:cstheme="minorBidi"/>
          <w:sz w:val="22"/>
          <w:szCs w:val="22"/>
          <w:shd w:val="clear" w:color="auto" w:fill="FFFFFF"/>
          <w:lang w:val="en-US"/>
        </w:rPr>
        <w:t>The</w:t>
      </w:r>
      <w:r w:rsidR="009067C2" w:rsidRPr="033323A7">
        <w:rPr>
          <w:rFonts w:ascii="Helvetica" w:eastAsiaTheme="majorEastAsia" w:hAnsi="Helvetica" w:cstheme="minorBidi"/>
          <w:sz w:val="22"/>
          <w:szCs w:val="22"/>
          <w:shd w:val="clear" w:color="auto" w:fill="FFFFFF"/>
          <w:lang w:val="en-US"/>
        </w:rPr>
        <w:t xml:space="preserve"> </w:t>
      </w:r>
      <w:r w:rsidRPr="033323A7">
        <w:rPr>
          <w:rFonts w:ascii="Helvetica" w:eastAsiaTheme="majorEastAsia" w:hAnsi="Helvetica" w:cstheme="minorBidi"/>
          <w:sz w:val="22"/>
          <w:szCs w:val="22"/>
          <w:shd w:val="clear" w:color="auto" w:fill="FFFFFF"/>
          <w:lang w:val="en-US"/>
        </w:rPr>
        <w:t>Entrancement of Ruins</w:t>
      </w:r>
      <w:r w:rsidR="009067C2" w:rsidRPr="033323A7">
        <w:rPr>
          <w:rFonts w:ascii="Helvetica" w:eastAsiaTheme="majorEastAsia" w:hAnsi="Helvetica" w:cstheme="minorBidi"/>
          <w:sz w:val="22"/>
          <w:szCs w:val="22"/>
          <w:shd w:val="clear" w:color="auto" w:fill="FFFFFF"/>
          <w:lang w:val="en-US"/>
        </w:rPr>
        <w:t>”</w:t>
      </w:r>
      <w:r w:rsidRPr="033323A7">
        <w:rPr>
          <w:rFonts w:ascii="Helvetica" w:eastAsiaTheme="majorEastAsia" w:hAnsi="Helvetica" w:cstheme="minorBidi"/>
          <w:sz w:val="22"/>
          <w:szCs w:val="22"/>
          <w:shd w:val="clear" w:color="auto" w:fill="FFFFFF"/>
          <w:lang w:val="en-US"/>
        </w:rPr>
        <w:t>, inviting academic teachers, researchers, designers and artists to contribute in the wake of this</w:t>
      </w:r>
      <w:r w:rsidR="009067C2" w:rsidRPr="033323A7">
        <w:rPr>
          <w:rFonts w:ascii="Helvetica" w:eastAsiaTheme="majorEastAsia" w:hAnsi="Helvetica" w:cstheme="minorBidi"/>
          <w:sz w:val="22"/>
          <w:szCs w:val="22"/>
          <w:shd w:val="clear" w:color="auto" w:fill="FFFFFF"/>
          <w:lang w:val="en-US"/>
        </w:rPr>
        <w:t xml:space="preserve"> </w:t>
      </w:r>
      <w:r w:rsidRPr="033323A7">
        <w:rPr>
          <w:rFonts w:ascii="Helvetica" w:eastAsiaTheme="majorEastAsia" w:hAnsi="Helvetica" w:cstheme="minorBidi"/>
          <w:sz w:val="22"/>
          <w:szCs w:val="22"/>
          <w:shd w:val="clear" w:color="auto" w:fill="FFFFFF"/>
          <w:lang w:val="en-US"/>
        </w:rPr>
        <w:t>[a]</w:t>
      </w:r>
      <w:r w:rsidR="009067C2" w:rsidRPr="033323A7">
        <w:rPr>
          <w:rFonts w:ascii="Helvetica" w:eastAsiaTheme="majorEastAsia" w:hAnsi="Helvetica" w:cstheme="minorBidi"/>
          <w:sz w:val="22"/>
          <w:szCs w:val="22"/>
          <w:shd w:val="clear" w:color="auto" w:fill="FFFFFF"/>
          <w:lang w:val="en-US"/>
        </w:rPr>
        <w:t xml:space="preserve"> </w:t>
      </w:r>
      <w:r w:rsidRPr="033323A7">
        <w:rPr>
          <w:rFonts w:ascii="Helvetica" w:eastAsiaTheme="majorEastAsia" w:hAnsi="Helvetica" w:cstheme="minorBidi"/>
          <w:sz w:val="22"/>
          <w:szCs w:val="22"/>
          <w:shd w:val="clear" w:color="auto" w:fill="FFFFFF"/>
          <w:lang w:val="en-US"/>
        </w:rPr>
        <w:t>discussion.</w:t>
      </w:r>
    </w:p>
    <w:p w14:paraId="6AA62A55" w14:textId="77777777" w:rsidR="009067C2" w:rsidRDefault="009067C2" w:rsidP="00F11608">
      <w:pPr>
        <w:pStyle w:val="paragraph"/>
        <w:spacing w:before="0" w:beforeAutospacing="0" w:after="0" w:afterAutospacing="0"/>
        <w:jc w:val="both"/>
        <w:textAlignment w:val="baseline"/>
        <w:rPr>
          <w:rFonts w:ascii="Helvetica" w:eastAsiaTheme="majorEastAsia" w:hAnsi="Helvetica" w:cstheme="minorBidi"/>
          <w:sz w:val="22"/>
          <w:szCs w:val="22"/>
          <w:shd w:val="clear" w:color="auto" w:fill="FFFFFF"/>
          <w:lang w:val="en-US"/>
        </w:rPr>
      </w:pPr>
    </w:p>
    <w:p w14:paraId="3000E3BF" w14:textId="77777777" w:rsidR="00F11608" w:rsidRPr="009067C2" w:rsidRDefault="00F11608" w:rsidP="00F11608">
      <w:pPr>
        <w:rPr>
          <w:rFonts w:ascii="Helvetica" w:eastAsiaTheme="majorEastAsia" w:hAnsi="Helvetica"/>
          <w:sz w:val="18"/>
          <w:szCs w:val="18"/>
          <w:shd w:val="clear" w:color="auto" w:fill="FFFFFF"/>
          <w:lang w:val="en-US" w:eastAsia="el-GR"/>
        </w:rPr>
      </w:pPr>
      <w:r w:rsidRPr="009067C2">
        <w:rPr>
          <w:rFonts w:ascii="Helvetica" w:hAnsi="Helvetica"/>
          <w:sz w:val="18"/>
          <w:szCs w:val="18"/>
          <w:shd w:val="clear" w:color="auto" w:fill="FFFFFF"/>
          <w:lang w:val="en-US"/>
        </w:rPr>
        <w:t>[</w:t>
      </w:r>
      <w:r w:rsidRPr="009067C2">
        <w:rPr>
          <w:rFonts w:ascii="Helvetica" w:eastAsiaTheme="majorEastAsia" w:hAnsi="Helvetica"/>
          <w:sz w:val="18"/>
          <w:szCs w:val="18"/>
          <w:shd w:val="clear" w:color="auto" w:fill="FFFFFF"/>
          <w:lang w:val="en-US" w:eastAsia="el-GR"/>
        </w:rPr>
        <w:t xml:space="preserve">1] Simmel, George, 1958. “Two Essays: The Ruin.” </w:t>
      </w:r>
      <w:r w:rsidRPr="009067C2">
        <w:rPr>
          <w:rFonts w:ascii="Helvetica" w:eastAsiaTheme="majorEastAsia" w:hAnsi="Helvetica"/>
          <w:i/>
          <w:iCs/>
          <w:sz w:val="18"/>
          <w:szCs w:val="18"/>
          <w:shd w:val="clear" w:color="auto" w:fill="FFFFFF"/>
          <w:lang w:val="en-US" w:eastAsia="el-GR"/>
        </w:rPr>
        <w:t>The Hudson Review</w:t>
      </w:r>
      <w:r w:rsidRPr="009067C2">
        <w:rPr>
          <w:rFonts w:ascii="Helvetica" w:eastAsiaTheme="majorEastAsia" w:hAnsi="Helvetica"/>
          <w:sz w:val="18"/>
          <w:szCs w:val="18"/>
          <w:shd w:val="clear" w:color="auto" w:fill="FFFFFF"/>
          <w:lang w:val="en-US" w:eastAsia="el-GR"/>
        </w:rPr>
        <w:t>, 11(3), 371-385. doi:10.2307/3848614.</w:t>
      </w:r>
    </w:p>
    <w:p w14:paraId="2D2DD2A1" w14:textId="77777777" w:rsidR="00F11608" w:rsidRPr="009067C2" w:rsidRDefault="00F11608" w:rsidP="00F11608">
      <w:pPr>
        <w:rPr>
          <w:rFonts w:ascii="Helvetica" w:eastAsiaTheme="majorEastAsia" w:hAnsi="Helvetica"/>
          <w:sz w:val="18"/>
          <w:szCs w:val="18"/>
          <w:shd w:val="clear" w:color="auto" w:fill="FFFFFF"/>
          <w:lang w:val="en-US" w:eastAsia="el-GR"/>
        </w:rPr>
      </w:pPr>
      <w:r w:rsidRPr="009067C2">
        <w:rPr>
          <w:rFonts w:ascii="Helvetica" w:eastAsiaTheme="majorEastAsia" w:hAnsi="Helvetica"/>
          <w:sz w:val="18"/>
          <w:szCs w:val="18"/>
          <w:shd w:val="clear" w:color="auto" w:fill="FFFFFF"/>
          <w:lang w:val="en-US" w:eastAsia="el-GR"/>
        </w:rPr>
        <w:t xml:space="preserve">[2] Freud, Sigmund, 2003 |1919. </w:t>
      </w:r>
      <w:r w:rsidRPr="009067C2">
        <w:rPr>
          <w:rFonts w:ascii="Helvetica" w:eastAsiaTheme="majorEastAsia" w:hAnsi="Helvetica"/>
          <w:i/>
          <w:iCs/>
          <w:sz w:val="18"/>
          <w:szCs w:val="18"/>
          <w:shd w:val="clear" w:color="auto" w:fill="FFFFFF"/>
          <w:lang w:val="en-US" w:eastAsia="el-GR"/>
        </w:rPr>
        <w:t>The Uncanny</w:t>
      </w:r>
      <w:r w:rsidRPr="009067C2">
        <w:rPr>
          <w:rFonts w:ascii="Helvetica" w:eastAsiaTheme="majorEastAsia" w:hAnsi="Helvetica"/>
          <w:sz w:val="18"/>
          <w:szCs w:val="18"/>
          <w:shd w:val="clear" w:color="auto" w:fill="FFFFFF"/>
          <w:lang w:val="en-US" w:eastAsia="el-GR"/>
        </w:rPr>
        <w:t xml:space="preserve"> (</w:t>
      </w:r>
      <w:r w:rsidRPr="009067C2">
        <w:rPr>
          <w:rFonts w:ascii="Helvetica" w:eastAsiaTheme="majorEastAsia" w:hAnsi="Helvetica"/>
          <w:i/>
          <w:iCs/>
          <w:sz w:val="18"/>
          <w:szCs w:val="18"/>
          <w:shd w:val="clear" w:color="auto" w:fill="FFFFFF"/>
          <w:lang w:val="en-US" w:eastAsia="el-GR"/>
        </w:rPr>
        <w:t>Das Unheimliche</w:t>
      </w:r>
      <w:r w:rsidRPr="009067C2">
        <w:rPr>
          <w:rFonts w:ascii="Helvetica" w:eastAsiaTheme="majorEastAsia" w:hAnsi="Helvetica"/>
          <w:sz w:val="18"/>
          <w:szCs w:val="18"/>
          <w:shd w:val="clear" w:color="auto" w:fill="FFFFFF"/>
          <w:lang w:val="en-US" w:eastAsia="el-GR"/>
        </w:rPr>
        <w:t>). MClintock, David, (transl.) London: Penguin books.</w:t>
      </w:r>
    </w:p>
    <w:p w14:paraId="51F645D3" w14:textId="328A3F64" w:rsidR="00F11608" w:rsidRDefault="00F11608" w:rsidP="00F11608">
      <w:pPr>
        <w:pStyle w:val="paragraph"/>
        <w:spacing w:before="0" w:beforeAutospacing="0" w:after="0" w:afterAutospacing="0"/>
        <w:jc w:val="both"/>
        <w:textAlignment w:val="baseline"/>
        <w:rPr>
          <w:rFonts w:ascii="Helvetica" w:eastAsiaTheme="majorEastAsia" w:hAnsi="Helvetica" w:cstheme="minorBidi"/>
          <w:sz w:val="22"/>
          <w:szCs w:val="22"/>
          <w:shd w:val="clear" w:color="auto" w:fill="FFFFFF"/>
          <w:lang w:val="en-US"/>
        </w:rPr>
      </w:pPr>
    </w:p>
    <w:p w14:paraId="7CAEA648" w14:textId="77777777" w:rsidR="00876471" w:rsidRDefault="00876471" w:rsidP="00876471">
      <w:pPr>
        <w:pStyle w:val="paragraph"/>
        <w:spacing w:before="0" w:beforeAutospacing="0" w:after="0" w:afterAutospacing="0"/>
        <w:jc w:val="both"/>
        <w:textAlignment w:val="baseline"/>
        <w:rPr>
          <w:rFonts w:ascii="Helvetica" w:eastAsiaTheme="majorEastAsia" w:hAnsi="Helvetica" w:cstheme="minorBidi"/>
          <w:sz w:val="22"/>
          <w:szCs w:val="22"/>
          <w:shd w:val="clear" w:color="auto" w:fill="FFFFFF"/>
          <w:lang w:val="en-US"/>
        </w:rPr>
      </w:pPr>
    </w:p>
    <w:p w14:paraId="116F3C5A" w14:textId="77777777" w:rsidR="00876471" w:rsidRDefault="00876471" w:rsidP="00F11608">
      <w:pPr>
        <w:pStyle w:val="paragraph"/>
        <w:spacing w:before="0" w:beforeAutospacing="0" w:after="0" w:afterAutospacing="0"/>
        <w:jc w:val="both"/>
        <w:textAlignment w:val="baseline"/>
        <w:rPr>
          <w:rFonts w:ascii="Helvetica" w:eastAsiaTheme="majorEastAsia" w:hAnsi="Helvetica" w:cstheme="minorBidi"/>
          <w:sz w:val="22"/>
          <w:szCs w:val="22"/>
          <w:shd w:val="clear" w:color="auto" w:fill="FFFFFF"/>
          <w:lang w:val="en-US"/>
        </w:rPr>
      </w:pPr>
    </w:p>
    <w:p w14:paraId="6FE19999" w14:textId="736B0742" w:rsidR="00F11608" w:rsidRPr="00876471" w:rsidRDefault="00F11608" w:rsidP="00F11608">
      <w:pPr>
        <w:pStyle w:val="paragraph"/>
        <w:spacing w:before="0" w:beforeAutospacing="0" w:after="0" w:afterAutospacing="0"/>
        <w:jc w:val="both"/>
        <w:textAlignment w:val="baseline"/>
        <w:rPr>
          <w:rFonts w:ascii="Helvetica" w:hAnsi="Helvetica" w:cstheme="minorBidi"/>
          <w:b/>
          <w:bCs/>
          <w:sz w:val="22"/>
          <w:szCs w:val="22"/>
          <w:shd w:val="clear" w:color="auto" w:fill="FFFFFF"/>
          <w:lang w:val="en-US"/>
        </w:rPr>
      </w:pPr>
      <w:r w:rsidRPr="00876471">
        <w:rPr>
          <w:rFonts w:ascii="Helvetica" w:eastAsiaTheme="majorEastAsia" w:hAnsi="Helvetica" w:cstheme="minorBidi"/>
          <w:b/>
          <w:bCs/>
          <w:sz w:val="22"/>
          <w:szCs w:val="22"/>
          <w:shd w:val="clear" w:color="auto" w:fill="FFFFFF"/>
          <w:lang w:val="en-US"/>
        </w:rPr>
        <w:t>About the Journal</w:t>
      </w:r>
      <w:r w:rsidRPr="00876471">
        <w:rPr>
          <w:rFonts w:ascii="Helvetica" w:hAnsi="Helvetica" w:cstheme="minorBidi"/>
          <w:b/>
          <w:bCs/>
          <w:sz w:val="22"/>
          <w:szCs w:val="22"/>
          <w:shd w:val="clear" w:color="auto" w:fill="FFFFFF"/>
          <w:lang w:val="en-US"/>
        </w:rPr>
        <w:t> </w:t>
      </w:r>
    </w:p>
    <w:p w14:paraId="6C026283" w14:textId="77777777" w:rsidR="00876471" w:rsidRPr="00F11608" w:rsidRDefault="00876471" w:rsidP="00F11608">
      <w:pPr>
        <w:pStyle w:val="paragraph"/>
        <w:spacing w:before="0" w:beforeAutospacing="0" w:after="0" w:afterAutospacing="0"/>
        <w:jc w:val="both"/>
        <w:textAlignment w:val="baseline"/>
        <w:rPr>
          <w:rFonts w:ascii="Helvetica" w:hAnsi="Helvetica" w:cstheme="minorBidi"/>
          <w:sz w:val="22"/>
          <w:szCs w:val="22"/>
          <w:shd w:val="clear" w:color="auto" w:fill="FFFFFF"/>
          <w:lang w:val="en-US"/>
        </w:rPr>
      </w:pPr>
    </w:p>
    <w:p w14:paraId="555BF4DF" w14:textId="25F12FFB" w:rsidR="009067C2" w:rsidRPr="009067C2" w:rsidRDefault="00F11608" w:rsidP="48A0DFE3">
      <w:pPr>
        <w:jc w:val="both"/>
        <w:rPr>
          <w:rFonts w:ascii="Helvetica" w:eastAsiaTheme="majorEastAsia" w:hAnsi="Helvetica"/>
          <w:sz w:val="22"/>
          <w:szCs w:val="22"/>
          <w:lang w:val="en-US" w:eastAsia="el-GR"/>
        </w:rPr>
      </w:pPr>
      <w:r w:rsidRPr="48A0DFE3">
        <w:rPr>
          <w:rFonts w:ascii="Helvetica" w:eastAsiaTheme="majorEastAsia" w:hAnsi="Helvetica"/>
          <w:sz w:val="22"/>
          <w:szCs w:val="22"/>
          <w:shd w:val="clear" w:color="auto" w:fill="FFFFFF"/>
          <w:lang w:val="en-US" w:eastAsia="el-GR"/>
        </w:rPr>
        <w:t xml:space="preserve">The International Journal </w:t>
      </w:r>
      <w:r w:rsidR="002B6207">
        <w:rPr>
          <w:rFonts w:ascii="Helvetica" w:eastAsiaTheme="majorEastAsia" w:hAnsi="Helvetica"/>
          <w:b/>
          <w:bCs/>
          <w:sz w:val="22"/>
          <w:szCs w:val="22"/>
          <w:shd w:val="clear" w:color="auto" w:fill="FFFFFF"/>
          <w:lang w:val="en-US" w:eastAsia="el-GR"/>
        </w:rPr>
        <w:t>DAC</w:t>
      </w:r>
      <w:r w:rsidRPr="48A0DFE3">
        <w:rPr>
          <w:rFonts w:ascii="Helvetica" w:eastAsiaTheme="majorEastAsia" w:hAnsi="Helvetica"/>
          <w:sz w:val="22"/>
          <w:szCs w:val="22"/>
          <w:shd w:val="clear" w:color="auto" w:fill="FFFFFF"/>
          <w:lang w:val="en-US" w:eastAsia="el-GR"/>
        </w:rPr>
        <w:t xml:space="preserve"> is a digital open access and peer-reviewed multi-disciplinary journal, published by </w:t>
      </w:r>
      <w:r w:rsidRPr="48A0DFE3">
        <w:rPr>
          <w:rFonts w:ascii="Helvetica" w:eastAsiaTheme="majorEastAsia" w:hAnsi="Helvetica"/>
          <w:b/>
          <w:bCs/>
          <w:sz w:val="22"/>
          <w:szCs w:val="22"/>
          <w:shd w:val="clear" w:color="auto" w:fill="FFFFFF"/>
          <w:lang w:val="en-US" w:eastAsia="el-GR"/>
        </w:rPr>
        <w:t xml:space="preserve">Design, Interior Architecture and Audiovisual Documentation lab of the Faculty of Applied Arts and Culture of the University of West Attica </w:t>
      </w:r>
      <w:r w:rsidRPr="48A0DFE3">
        <w:rPr>
          <w:rFonts w:ascii="Helvetica" w:eastAsiaTheme="majorEastAsia" w:hAnsi="Helvetica"/>
          <w:sz w:val="22"/>
          <w:szCs w:val="22"/>
          <w:shd w:val="clear" w:color="auto" w:fill="FFFFFF"/>
          <w:lang w:val="en-US" w:eastAsia="el-GR"/>
        </w:rPr>
        <w:t xml:space="preserve">Greece in cooperation with the: </w:t>
      </w:r>
      <w:r w:rsidRPr="48A0DFE3">
        <w:rPr>
          <w:rFonts w:ascii="Helvetica" w:eastAsiaTheme="majorEastAsia" w:hAnsi="Helvetica"/>
          <w:b/>
          <w:bCs/>
          <w:sz w:val="22"/>
          <w:szCs w:val="22"/>
          <w:shd w:val="clear" w:color="auto" w:fill="FFFFFF"/>
          <w:lang w:val="en-US" w:eastAsia="el-GR"/>
        </w:rPr>
        <w:t>University of Nicosia</w:t>
      </w:r>
      <w:r w:rsidRPr="48A0DFE3">
        <w:rPr>
          <w:rFonts w:ascii="Helvetica" w:eastAsiaTheme="majorEastAsia" w:hAnsi="Helvetica"/>
          <w:sz w:val="22"/>
          <w:szCs w:val="22"/>
          <w:shd w:val="clear" w:color="auto" w:fill="FFFFFF"/>
          <w:lang w:val="en-US" w:eastAsia="el-GR"/>
        </w:rPr>
        <w:t xml:space="preserve"> Cyprus, </w:t>
      </w:r>
      <w:r w:rsidRPr="48A0DFE3">
        <w:rPr>
          <w:rFonts w:ascii="Helvetica" w:eastAsiaTheme="majorEastAsia" w:hAnsi="Helvetica"/>
          <w:b/>
          <w:bCs/>
          <w:sz w:val="22"/>
          <w:szCs w:val="22"/>
          <w:shd w:val="clear" w:color="auto" w:fill="FFFFFF"/>
          <w:lang w:val="en-US" w:eastAsia="el-GR"/>
        </w:rPr>
        <w:t>ESAD Porto</w:t>
      </w:r>
      <w:r w:rsidRPr="48A0DFE3">
        <w:rPr>
          <w:rFonts w:ascii="Helvetica" w:eastAsiaTheme="majorEastAsia" w:hAnsi="Helvetica"/>
          <w:sz w:val="22"/>
          <w:szCs w:val="22"/>
          <w:shd w:val="clear" w:color="auto" w:fill="FFFFFF"/>
          <w:lang w:val="en-US" w:eastAsia="el-GR"/>
        </w:rPr>
        <w:t xml:space="preserve"> Portugal, </w:t>
      </w:r>
      <w:r w:rsidRPr="48A0DFE3">
        <w:rPr>
          <w:rFonts w:ascii="Helvetica" w:eastAsiaTheme="majorEastAsia" w:hAnsi="Helvetica"/>
          <w:b/>
          <w:bCs/>
          <w:sz w:val="22"/>
          <w:szCs w:val="22"/>
          <w:shd w:val="clear" w:color="auto" w:fill="FFFFFF"/>
          <w:lang w:val="en-US" w:eastAsia="el-GR"/>
        </w:rPr>
        <w:t>ESD Madrid</w:t>
      </w:r>
      <w:r w:rsidRPr="48A0DFE3">
        <w:rPr>
          <w:rFonts w:ascii="Helvetica" w:eastAsiaTheme="majorEastAsia" w:hAnsi="Helvetica"/>
          <w:sz w:val="22"/>
          <w:szCs w:val="22"/>
          <w:shd w:val="clear" w:color="auto" w:fill="FFFFFF"/>
          <w:lang w:val="en-US" w:eastAsia="el-GR"/>
        </w:rPr>
        <w:t xml:space="preserve"> Spain, </w:t>
      </w:r>
      <w:r w:rsidRPr="48A0DFE3">
        <w:rPr>
          <w:rFonts w:ascii="Helvetica" w:eastAsiaTheme="majorEastAsia" w:hAnsi="Helvetica"/>
          <w:b/>
          <w:bCs/>
          <w:sz w:val="22"/>
          <w:szCs w:val="22"/>
          <w:shd w:val="clear" w:color="auto" w:fill="FFFFFF"/>
          <w:lang w:val="en-US" w:eastAsia="el-GR"/>
        </w:rPr>
        <w:t>National University of Arts Bucharest</w:t>
      </w:r>
      <w:r w:rsidRPr="48A0DFE3">
        <w:rPr>
          <w:rFonts w:ascii="Helvetica" w:eastAsiaTheme="majorEastAsia" w:hAnsi="Helvetica"/>
          <w:sz w:val="22"/>
          <w:szCs w:val="22"/>
          <w:shd w:val="clear" w:color="auto" w:fill="FFFFFF"/>
          <w:lang w:val="en-US" w:eastAsia="el-GR"/>
        </w:rPr>
        <w:t xml:space="preserve"> Romania, </w:t>
      </w:r>
      <w:r w:rsidRPr="48A0DFE3">
        <w:rPr>
          <w:rFonts w:ascii="Helvetica" w:eastAsiaTheme="majorEastAsia" w:hAnsi="Helvetica"/>
          <w:b/>
          <w:bCs/>
          <w:sz w:val="22"/>
          <w:szCs w:val="22"/>
          <w:shd w:val="clear" w:color="auto" w:fill="FFFFFF"/>
          <w:lang w:val="en-US" w:eastAsia="el-GR"/>
        </w:rPr>
        <w:t>Academy of Fine Arts Gdansk</w:t>
      </w:r>
      <w:r w:rsidRPr="48A0DFE3">
        <w:rPr>
          <w:rFonts w:ascii="Helvetica" w:eastAsiaTheme="majorEastAsia" w:hAnsi="Helvetica"/>
          <w:sz w:val="22"/>
          <w:szCs w:val="22"/>
          <w:shd w:val="clear" w:color="auto" w:fill="FFFFFF"/>
          <w:lang w:val="en-US" w:eastAsia="el-GR"/>
        </w:rPr>
        <w:t xml:space="preserve"> Poland. The journal is hosted in the open access e Publishing platform of the </w:t>
      </w:r>
      <w:r w:rsidRPr="48A0DFE3">
        <w:rPr>
          <w:rFonts w:ascii="Helvetica" w:eastAsiaTheme="majorEastAsia" w:hAnsi="Helvetica"/>
          <w:b/>
          <w:bCs/>
          <w:sz w:val="22"/>
          <w:szCs w:val="22"/>
          <w:shd w:val="clear" w:color="auto" w:fill="FFFFFF"/>
          <w:lang w:val="en-US" w:eastAsia="el-GR"/>
        </w:rPr>
        <w:t>National Documentation Centre of Greec</w:t>
      </w:r>
      <w:r w:rsidRPr="48A0DFE3">
        <w:rPr>
          <w:rFonts w:ascii="Helvetica" w:eastAsiaTheme="majorEastAsia" w:hAnsi="Helvetica"/>
          <w:sz w:val="22"/>
          <w:szCs w:val="22"/>
          <w:shd w:val="clear" w:color="auto" w:fill="FFFFFF"/>
          <w:lang w:val="en-US" w:eastAsia="el-GR"/>
        </w:rPr>
        <w:t>e (EKT).</w:t>
      </w:r>
      <w:r w:rsidR="240ECB4F" w:rsidRPr="48A0DFE3">
        <w:rPr>
          <w:rFonts w:ascii="Helvetica" w:eastAsiaTheme="majorEastAsia" w:hAnsi="Helvetica"/>
          <w:sz w:val="22"/>
          <w:szCs w:val="22"/>
          <w:shd w:val="clear" w:color="auto" w:fill="FFFFFF"/>
          <w:lang w:val="en-US" w:eastAsia="el-GR"/>
        </w:rPr>
        <w:t xml:space="preserve"> </w:t>
      </w:r>
    </w:p>
    <w:p w14:paraId="5890755F" w14:textId="77777777" w:rsidR="00F11608" w:rsidRPr="00F11608" w:rsidRDefault="00F11608" w:rsidP="00F11608">
      <w:pPr>
        <w:jc w:val="both"/>
        <w:rPr>
          <w:rFonts w:ascii="Helvetica" w:eastAsiaTheme="majorEastAsia" w:hAnsi="Helvetica"/>
          <w:sz w:val="22"/>
          <w:szCs w:val="22"/>
          <w:shd w:val="clear" w:color="auto" w:fill="FFFFFF"/>
          <w:lang w:val="en-US" w:eastAsia="el-GR"/>
        </w:rPr>
      </w:pPr>
      <w:r w:rsidRPr="00F11608">
        <w:rPr>
          <w:rFonts w:ascii="Helvetica" w:eastAsiaTheme="majorEastAsia" w:hAnsi="Helvetica"/>
          <w:sz w:val="22"/>
          <w:szCs w:val="22"/>
          <w:shd w:val="clear" w:color="auto" w:fill="FFFFFF"/>
          <w:lang w:val="en-US" w:eastAsia="el-GR"/>
        </w:rPr>
        <w:t xml:space="preserve">This journal is biannual (with regular and from time to time special issues) and publishes research articles, projects and portfolios, as well as book reviews and student works. It aims to provide an academic forum for sharing and connecting ideas, projects and findings about design, applied arts and culture. </w:t>
      </w:r>
    </w:p>
    <w:p w14:paraId="38F39687" w14:textId="77777777" w:rsidR="00F11608" w:rsidRPr="00F11608" w:rsidRDefault="00F11608" w:rsidP="00F11608">
      <w:pPr>
        <w:jc w:val="both"/>
        <w:rPr>
          <w:rFonts w:ascii="Helvetica" w:eastAsiaTheme="majorEastAsia" w:hAnsi="Helvetica"/>
          <w:sz w:val="22"/>
          <w:szCs w:val="22"/>
          <w:shd w:val="clear" w:color="auto" w:fill="FFFFFF"/>
          <w:lang w:val="en-US" w:eastAsia="el-GR"/>
        </w:rPr>
      </w:pPr>
      <w:r w:rsidRPr="00F11608">
        <w:rPr>
          <w:rFonts w:ascii="Helvetica" w:eastAsiaTheme="majorEastAsia" w:hAnsi="Helvetica"/>
          <w:sz w:val="22"/>
          <w:szCs w:val="22"/>
          <w:shd w:val="clear" w:color="auto" w:fill="FFFFFF"/>
          <w:lang w:val="en-US" w:eastAsia="el-GR"/>
        </w:rPr>
        <w:t xml:space="preserve">This journal provides immediate open access to its content on the principle that making research freely available to the public supports a greater global exchange of knowledge. </w:t>
      </w:r>
    </w:p>
    <w:p w14:paraId="73E28AC9" w14:textId="1FE95F21" w:rsidR="00F11608" w:rsidRPr="00F11608" w:rsidRDefault="00F11608" w:rsidP="033323A7">
      <w:pPr>
        <w:jc w:val="both"/>
        <w:rPr>
          <w:rFonts w:ascii="Helvetica" w:eastAsiaTheme="majorEastAsia" w:hAnsi="Helvetica"/>
          <w:sz w:val="22"/>
          <w:szCs w:val="22"/>
          <w:shd w:val="clear" w:color="auto" w:fill="FFFFFF"/>
          <w:lang w:val="en-US" w:eastAsia="el-GR"/>
        </w:rPr>
      </w:pPr>
      <w:r w:rsidRPr="033323A7">
        <w:rPr>
          <w:rFonts w:ascii="Helvetica" w:eastAsiaTheme="majorEastAsia" w:hAnsi="Helvetica"/>
          <w:sz w:val="22"/>
          <w:szCs w:val="22"/>
          <w:shd w:val="clear" w:color="auto" w:fill="FFFFFF"/>
          <w:lang w:val="en-US" w:eastAsia="el-GR"/>
        </w:rPr>
        <w:t xml:space="preserve">All articles, portfolios and </w:t>
      </w:r>
      <w:r w:rsidR="2851424C" w:rsidRPr="033323A7">
        <w:rPr>
          <w:rFonts w:ascii="Helvetica" w:eastAsiaTheme="majorEastAsia" w:hAnsi="Helvetica"/>
          <w:sz w:val="22"/>
          <w:szCs w:val="22"/>
          <w:shd w:val="clear" w:color="auto" w:fill="FFFFFF"/>
          <w:lang w:val="en-US" w:eastAsia="el-GR"/>
        </w:rPr>
        <w:t xml:space="preserve">book </w:t>
      </w:r>
      <w:r w:rsidRPr="033323A7">
        <w:rPr>
          <w:rFonts w:ascii="Helvetica" w:eastAsiaTheme="majorEastAsia" w:hAnsi="Helvetica"/>
          <w:sz w:val="22"/>
          <w:szCs w:val="22"/>
          <w:shd w:val="clear" w:color="auto" w:fill="FFFFFF"/>
          <w:lang w:val="en-US" w:eastAsia="el-GR"/>
        </w:rPr>
        <w:t xml:space="preserve">reviews will be double blind peer reviewed. The official language is English. All the published works are licensed under the </w:t>
      </w:r>
      <w:hyperlink r:id="rId9" w:history="1">
        <w:r w:rsidRPr="033323A7">
          <w:rPr>
            <w:rFonts w:ascii="Helvetica" w:eastAsiaTheme="majorEastAsia" w:hAnsi="Helvetica"/>
            <w:sz w:val="22"/>
            <w:szCs w:val="22"/>
            <w:shd w:val="clear" w:color="auto" w:fill="FFFFFF"/>
            <w:lang w:val="en-US" w:eastAsia="el-GR"/>
          </w:rPr>
          <w:t>Creative Commons Attribution 4.0 International License</w:t>
        </w:r>
      </w:hyperlink>
      <w:r w:rsidRPr="033323A7">
        <w:rPr>
          <w:rFonts w:ascii="Helvetica" w:eastAsiaTheme="majorEastAsia" w:hAnsi="Helvetica"/>
          <w:sz w:val="22"/>
          <w:szCs w:val="22"/>
          <w:shd w:val="clear" w:color="auto" w:fill="FFFFFF"/>
          <w:lang w:val="en-US" w:eastAsia="el-GR"/>
        </w:rPr>
        <w:t xml:space="preserve">. This permits anyone to copy, redistribute, remix, transmit and adapt the work provided the original work and source is appropriately cited. </w:t>
      </w:r>
    </w:p>
    <w:p w14:paraId="3D0C4EBE" w14:textId="6B83F8E6" w:rsidR="00F174BD" w:rsidRPr="00073606" w:rsidRDefault="00F11608" w:rsidP="00073606">
      <w:pPr>
        <w:jc w:val="both"/>
        <w:rPr>
          <w:rFonts w:ascii="Helvetica" w:eastAsiaTheme="majorEastAsia" w:hAnsi="Helvetica"/>
          <w:sz w:val="22"/>
          <w:szCs w:val="22"/>
          <w:shd w:val="clear" w:color="auto" w:fill="FFFFFF"/>
          <w:lang w:val="en-US" w:eastAsia="el-GR"/>
        </w:rPr>
      </w:pPr>
      <w:r w:rsidRPr="48A0DFE3">
        <w:rPr>
          <w:rFonts w:ascii="Helvetica" w:eastAsiaTheme="majorEastAsia" w:hAnsi="Helvetica"/>
          <w:sz w:val="22"/>
          <w:szCs w:val="22"/>
          <w:shd w:val="clear" w:color="auto" w:fill="FFFFFF"/>
          <w:lang w:val="en-US" w:eastAsia="el-GR"/>
        </w:rPr>
        <w:t>This journal does not charge submission or publication fees.</w:t>
      </w:r>
    </w:p>
    <w:p w14:paraId="29D973F0" w14:textId="2A7D7257" w:rsidR="48A0DFE3" w:rsidRDefault="48A0DFE3" w:rsidP="00876471">
      <w:pPr>
        <w:ind w:left="-284"/>
        <w:jc w:val="both"/>
        <w:rPr>
          <w:rFonts w:ascii="Helvetica" w:eastAsiaTheme="majorEastAsia" w:hAnsi="Helvetica"/>
          <w:sz w:val="22"/>
          <w:szCs w:val="22"/>
          <w:lang w:val="en-US" w:eastAsia="el-GR"/>
        </w:rPr>
      </w:pPr>
    </w:p>
    <w:p w14:paraId="2341B9CC" w14:textId="77777777" w:rsidR="00876471" w:rsidRDefault="00876471" w:rsidP="48A0DFE3">
      <w:pPr>
        <w:jc w:val="both"/>
        <w:rPr>
          <w:rFonts w:ascii="Helvetica" w:eastAsiaTheme="majorEastAsia" w:hAnsi="Helvetica"/>
          <w:sz w:val="22"/>
          <w:szCs w:val="22"/>
          <w:lang w:val="en-US" w:eastAsia="el-GR"/>
        </w:rPr>
      </w:pPr>
    </w:p>
    <w:p w14:paraId="485A471B" w14:textId="0D4F8951" w:rsidR="009067C2" w:rsidRPr="00876471" w:rsidRDefault="009067C2" w:rsidP="48A0DFE3">
      <w:pPr>
        <w:jc w:val="both"/>
        <w:rPr>
          <w:rFonts w:ascii="Helvetica" w:eastAsiaTheme="majorEastAsia" w:hAnsi="Helvetica"/>
          <w:sz w:val="18"/>
          <w:szCs w:val="18"/>
          <w:lang w:val="en-US" w:eastAsia="el-GR"/>
        </w:rPr>
      </w:pPr>
      <w:r w:rsidRPr="00876471">
        <w:rPr>
          <w:rFonts w:ascii="Helvetica" w:eastAsiaTheme="majorEastAsia" w:hAnsi="Helvetica"/>
          <w:sz w:val="18"/>
          <w:szCs w:val="18"/>
          <w:lang w:val="en-US" w:eastAsia="el-GR"/>
        </w:rPr>
        <w:t>Useful links:</w:t>
      </w:r>
    </w:p>
    <w:p w14:paraId="29BA15CA" w14:textId="77777777" w:rsidR="009067C2" w:rsidRPr="00876471" w:rsidRDefault="00627DCE" w:rsidP="009067C2">
      <w:pPr>
        <w:rPr>
          <w:rStyle w:val="Hyperlink"/>
          <w:rFonts w:ascii="Helvetica" w:eastAsiaTheme="majorEastAsia" w:hAnsi="Helvetica"/>
          <w:sz w:val="18"/>
          <w:szCs w:val="18"/>
          <w:lang w:val="en-US" w:eastAsia="el-GR"/>
        </w:rPr>
      </w:pPr>
      <w:hyperlink r:id="rId10" w:history="1">
        <w:r w:rsidR="009067C2" w:rsidRPr="00876471">
          <w:rPr>
            <w:rStyle w:val="Hyperlink"/>
            <w:rFonts w:ascii="Helvetica" w:eastAsiaTheme="majorEastAsia" w:hAnsi="Helvetica"/>
            <w:sz w:val="18"/>
            <w:szCs w:val="18"/>
            <w:lang w:val="en-US" w:eastAsia="el-GR"/>
          </w:rPr>
          <w:t>https://designlab.uniwa.gr/</w:t>
        </w:r>
      </w:hyperlink>
    </w:p>
    <w:p w14:paraId="7F2F5B89" w14:textId="773D7F74" w:rsidR="009067C2" w:rsidRPr="00876471" w:rsidRDefault="00627DCE" w:rsidP="48A0DFE3">
      <w:pPr>
        <w:jc w:val="both"/>
        <w:rPr>
          <w:rFonts w:ascii="Helvetica" w:eastAsiaTheme="majorEastAsia" w:hAnsi="Helvetica"/>
          <w:sz w:val="18"/>
          <w:szCs w:val="18"/>
          <w:lang w:val="en-US" w:eastAsia="el-GR"/>
        </w:rPr>
      </w:pPr>
      <w:hyperlink r:id="rId11" w:history="1">
        <w:r w:rsidR="009067C2" w:rsidRPr="00876471">
          <w:rPr>
            <w:rStyle w:val="Hyperlink"/>
            <w:rFonts w:ascii="Helvetica" w:eastAsiaTheme="majorEastAsia" w:hAnsi="Helvetica"/>
            <w:sz w:val="18"/>
            <w:szCs w:val="18"/>
            <w:lang w:val="en-US" w:eastAsia="el-GR"/>
          </w:rPr>
          <w:t>https://ejournals.epublishing.ekt.gr/index.php/DAC/issue/view/1418</w:t>
        </w:r>
      </w:hyperlink>
    </w:p>
    <w:p w14:paraId="52A7CCE4" w14:textId="532E18E2" w:rsidR="48A0DFE3" w:rsidRPr="00876471" w:rsidRDefault="00627DCE" w:rsidP="00876471">
      <w:pPr>
        <w:jc w:val="both"/>
        <w:rPr>
          <w:rFonts w:ascii="Helvetica" w:eastAsiaTheme="majorEastAsia" w:hAnsi="Helvetica"/>
          <w:sz w:val="18"/>
          <w:szCs w:val="18"/>
          <w:lang w:val="en-US" w:eastAsia="el-GR"/>
        </w:rPr>
      </w:pPr>
      <w:hyperlink r:id="rId12" w:history="1">
        <w:r w:rsidR="009067C2" w:rsidRPr="00876471">
          <w:rPr>
            <w:rStyle w:val="Hyperlink"/>
            <w:rFonts w:ascii="Helvetica" w:eastAsiaTheme="majorEastAsia" w:hAnsi="Helvetica"/>
            <w:sz w:val="18"/>
            <w:szCs w:val="18"/>
            <w:lang w:val="en-US" w:eastAsia="el-GR"/>
          </w:rPr>
          <w:t>https://ejournals.epublishing.ekt.gr/index.php/DAC/issue/viewIssue/1418/425</w:t>
        </w:r>
      </w:hyperlink>
    </w:p>
    <w:sectPr w:rsidR="48A0DFE3" w:rsidRPr="00876471" w:rsidSect="00876471">
      <w:pgSz w:w="11900" w:h="16840"/>
      <w:pgMar w:top="488" w:right="1311" w:bottom="1440" w:left="151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13F0F"/>
    <w:multiLevelType w:val="hybridMultilevel"/>
    <w:tmpl w:val="C46261FA"/>
    <w:lvl w:ilvl="0" w:tplc="2A36A1AA">
      <w:start w:val="1"/>
      <w:numFmt w:val="bullet"/>
      <w:lvlText w:val=""/>
      <w:lvlJc w:val="left"/>
      <w:pPr>
        <w:ind w:left="720" w:hanging="360"/>
      </w:pPr>
      <w:rPr>
        <w:rFonts w:ascii="Symbol" w:hAnsi="Symbol" w:hint="default"/>
      </w:rPr>
    </w:lvl>
    <w:lvl w:ilvl="1" w:tplc="6F80DE24">
      <w:start w:val="1"/>
      <w:numFmt w:val="bullet"/>
      <w:lvlText w:val="o"/>
      <w:lvlJc w:val="left"/>
      <w:pPr>
        <w:ind w:left="1440" w:hanging="360"/>
      </w:pPr>
      <w:rPr>
        <w:rFonts w:ascii="Courier New" w:hAnsi="Courier New" w:hint="default"/>
      </w:rPr>
    </w:lvl>
    <w:lvl w:ilvl="2" w:tplc="BE48635E">
      <w:start w:val="1"/>
      <w:numFmt w:val="bullet"/>
      <w:lvlText w:val=""/>
      <w:lvlJc w:val="left"/>
      <w:pPr>
        <w:ind w:left="2160" w:hanging="360"/>
      </w:pPr>
      <w:rPr>
        <w:rFonts w:ascii="Wingdings" w:hAnsi="Wingdings" w:hint="default"/>
      </w:rPr>
    </w:lvl>
    <w:lvl w:ilvl="3" w:tplc="6BEEFBD2">
      <w:start w:val="1"/>
      <w:numFmt w:val="bullet"/>
      <w:lvlText w:val=""/>
      <w:lvlJc w:val="left"/>
      <w:pPr>
        <w:ind w:left="2880" w:hanging="360"/>
      </w:pPr>
      <w:rPr>
        <w:rFonts w:ascii="Symbol" w:hAnsi="Symbol" w:hint="default"/>
      </w:rPr>
    </w:lvl>
    <w:lvl w:ilvl="4" w:tplc="33AC9C22">
      <w:start w:val="1"/>
      <w:numFmt w:val="bullet"/>
      <w:lvlText w:val="o"/>
      <w:lvlJc w:val="left"/>
      <w:pPr>
        <w:ind w:left="3600" w:hanging="360"/>
      </w:pPr>
      <w:rPr>
        <w:rFonts w:ascii="Courier New" w:hAnsi="Courier New" w:hint="default"/>
      </w:rPr>
    </w:lvl>
    <w:lvl w:ilvl="5" w:tplc="4A7E3242">
      <w:start w:val="1"/>
      <w:numFmt w:val="bullet"/>
      <w:lvlText w:val=""/>
      <w:lvlJc w:val="left"/>
      <w:pPr>
        <w:ind w:left="4320" w:hanging="360"/>
      </w:pPr>
      <w:rPr>
        <w:rFonts w:ascii="Wingdings" w:hAnsi="Wingdings" w:hint="default"/>
      </w:rPr>
    </w:lvl>
    <w:lvl w:ilvl="6" w:tplc="9C1A0AA2">
      <w:start w:val="1"/>
      <w:numFmt w:val="bullet"/>
      <w:lvlText w:val=""/>
      <w:lvlJc w:val="left"/>
      <w:pPr>
        <w:ind w:left="5040" w:hanging="360"/>
      </w:pPr>
      <w:rPr>
        <w:rFonts w:ascii="Symbol" w:hAnsi="Symbol" w:hint="default"/>
      </w:rPr>
    </w:lvl>
    <w:lvl w:ilvl="7" w:tplc="53D8F908">
      <w:start w:val="1"/>
      <w:numFmt w:val="bullet"/>
      <w:lvlText w:val="o"/>
      <w:lvlJc w:val="left"/>
      <w:pPr>
        <w:ind w:left="5760" w:hanging="360"/>
      </w:pPr>
      <w:rPr>
        <w:rFonts w:ascii="Courier New" w:hAnsi="Courier New" w:hint="default"/>
      </w:rPr>
    </w:lvl>
    <w:lvl w:ilvl="8" w:tplc="46DE3D0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isplayBackgroundShape/>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608"/>
    <w:rsid w:val="0003194B"/>
    <w:rsid w:val="00073606"/>
    <w:rsid w:val="000D466C"/>
    <w:rsid w:val="00275529"/>
    <w:rsid w:val="002B6207"/>
    <w:rsid w:val="002F4B79"/>
    <w:rsid w:val="004C4208"/>
    <w:rsid w:val="00627DCE"/>
    <w:rsid w:val="00876471"/>
    <w:rsid w:val="00884C5D"/>
    <w:rsid w:val="009067C2"/>
    <w:rsid w:val="00A8337B"/>
    <w:rsid w:val="00D16716"/>
    <w:rsid w:val="00DC0176"/>
    <w:rsid w:val="00EE072B"/>
    <w:rsid w:val="00F11608"/>
    <w:rsid w:val="00F174BD"/>
    <w:rsid w:val="033323A7"/>
    <w:rsid w:val="079FCA7D"/>
    <w:rsid w:val="11B5048A"/>
    <w:rsid w:val="1BF10176"/>
    <w:rsid w:val="1F699B82"/>
    <w:rsid w:val="2043E730"/>
    <w:rsid w:val="240ECB4F"/>
    <w:rsid w:val="2851424C"/>
    <w:rsid w:val="285DB7A0"/>
    <w:rsid w:val="33F31FA1"/>
    <w:rsid w:val="4730847F"/>
    <w:rsid w:val="48A0DFE3"/>
    <w:rsid w:val="544C059E"/>
    <w:rsid w:val="6854C69C"/>
    <w:rsid w:val="6ACAE00E"/>
    <w:rsid w:val="702357AA"/>
    <w:rsid w:val="7EF90A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8A10"/>
  <w15:chartTrackingRefBased/>
  <w15:docId w15:val="{796C3D46-CB70-2D42-A8CA-45A6DBF0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11608"/>
    <w:pPr>
      <w:spacing w:before="100" w:beforeAutospacing="1" w:after="100" w:afterAutospacing="1"/>
      <w:outlineLvl w:val="0"/>
    </w:pPr>
    <w:rPr>
      <w:rFonts w:ascii="Times New Roman" w:eastAsia="Times New Roman" w:hAnsi="Times New Roman" w:cs="Times New Roman"/>
      <w:b/>
      <w:bCs/>
      <w:kern w:val="36"/>
      <w:sz w:val="48"/>
      <w:szCs w:val="48"/>
      <w:lang w:eastAsia="el-GR"/>
    </w:rPr>
  </w:style>
  <w:style w:type="paragraph" w:styleId="Heading3">
    <w:name w:val="heading 3"/>
    <w:basedOn w:val="Normal"/>
    <w:next w:val="Normal"/>
    <w:link w:val="Heading3Char"/>
    <w:uiPriority w:val="9"/>
    <w:semiHidden/>
    <w:unhideWhenUsed/>
    <w:qFormat/>
    <w:rsid w:val="00F116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608"/>
    <w:rPr>
      <w:rFonts w:ascii="Times New Roman" w:eastAsia="Times New Roman" w:hAnsi="Times New Roman" w:cs="Times New Roman"/>
      <w:b/>
      <w:bCs/>
      <w:kern w:val="36"/>
      <w:sz w:val="48"/>
      <w:szCs w:val="48"/>
      <w:lang w:eastAsia="el-GR"/>
    </w:rPr>
  </w:style>
  <w:style w:type="paragraph" w:customStyle="1" w:styleId="paragraph">
    <w:name w:val="paragraph"/>
    <w:basedOn w:val="Normal"/>
    <w:rsid w:val="00F11608"/>
    <w:pPr>
      <w:spacing w:before="100" w:beforeAutospacing="1" w:after="100" w:afterAutospacing="1"/>
    </w:pPr>
    <w:rPr>
      <w:rFonts w:ascii="Times New Roman" w:eastAsia="Times New Roman" w:hAnsi="Times New Roman" w:cs="Times New Roman"/>
      <w:lang w:eastAsia="el-GR"/>
    </w:rPr>
  </w:style>
  <w:style w:type="character" w:customStyle="1" w:styleId="normaltextrun">
    <w:name w:val="normaltextrun"/>
    <w:basedOn w:val="DefaultParagraphFont"/>
    <w:rsid w:val="00F11608"/>
  </w:style>
  <w:style w:type="character" w:customStyle="1" w:styleId="eop">
    <w:name w:val="eop"/>
    <w:basedOn w:val="DefaultParagraphFont"/>
    <w:rsid w:val="00F11608"/>
  </w:style>
  <w:style w:type="character" w:customStyle="1" w:styleId="scxw139319613">
    <w:name w:val="scxw139319613"/>
    <w:basedOn w:val="DefaultParagraphFont"/>
    <w:rsid w:val="00F11608"/>
  </w:style>
  <w:style w:type="character" w:customStyle="1" w:styleId="Heading3Char">
    <w:name w:val="Heading 3 Char"/>
    <w:basedOn w:val="DefaultParagraphFont"/>
    <w:link w:val="Heading3"/>
    <w:uiPriority w:val="9"/>
    <w:semiHidden/>
    <w:rsid w:val="00F1160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9067C2"/>
    <w:rPr>
      <w:color w:val="0563C1" w:themeColor="hyperlink"/>
      <w:u w:val="single"/>
    </w:rPr>
  </w:style>
  <w:style w:type="character" w:styleId="UnresolvedMention">
    <w:name w:val="Unresolved Mention"/>
    <w:basedOn w:val="DefaultParagraphFont"/>
    <w:uiPriority w:val="99"/>
    <w:semiHidden/>
    <w:unhideWhenUsed/>
    <w:rsid w:val="009067C2"/>
    <w:rPr>
      <w:color w:val="605E5C"/>
      <w:shd w:val="clear" w:color="auto" w:fill="E1DFDD"/>
    </w:rPr>
  </w:style>
  <w:style w:type="character" w:styleId="FollowedHyperlink">
    <w:name w:val="FollowedHyperlink"/>
    <w:basedOn w:val="DefaultParagraphFont"/>
    <w:uiPriority w:val="99"/>
    <w:semiHidden/>
    <w:unhideWhenUsed/>
    <w:rsid w:val="008764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37558">
      <w:bodyDiv w:val="1"/>
      <w:marLeft w:val="0"/>
      <w:marRight w:val="0"/>
      <w:marTop w:val="0"/>
      <w:marBottom w:val="0"/>
      <w:divBdr>
        <w:top w:val="none" w:sz="0" w:space="0" w:color="auto"/>
        <w:left w:val="none" w:sz="0" w:space="0" w:color="auto"/>
        <w:bottom w:val="none" w:sz="0" w:space="0" w:color="auto"/>
        <w:right w:val="none" w:sz="0" w:space="0" w:color="auto"/>
      </w:divBdr>
    </w:div>
    <w:div w:id="432551581">
      <w:bodyDiv w:val="1"/>
      <w:marLeft w:val="0"/>
      <w:marRight w:val="0"/>
      <w:marTop w:val="0"/>
      <w:marBottom w:val="0"/>
      <w:divBdr>
        <w:top w:val="none" w:sz="0" w:space="0" w:color="auto"/>
        <w:left w:val="none" w:sz="0" w:space="0" w:color="auto"/>
        <w:bottom w:val="none" w:sz="0" w:space="0" w:color="auto"/>
        <w:right w:val="none" w:sz="0" w:space="0" w:color="auto"/>
      </w:divBdr>
    </w:div>
    <w:div w:id="748772067">
      <w:bodyDiv w:val="1"/>
      <w:marLeft w:val="0"/>
      <w:marRight w:val="0"/>
      <w:marTop w:val="0"/>
      <w:marBottom w:val="0"/>
      <w:divBdr>
        <w:top w:val="none" w:sz="0" w:space="0" w:color="auto"/>
        <w:left w:val="none" w:sz="0" w:space="0" w:color="auto"/>
        <w:bottom w:val="none" w:sz="0" w:space="0" w:color="auto"/>
        <w:right w:val="none" w:sz="0" w:space="0" w:color="auto"/>
      </w:divBdr>
    </w:div>
    <w:div w:id="760762570">
      <w:bodyDiv w:val="1"/>
      <w:marLeft w:val="0"/>
      <w:marRight w:val="0"/>
      <w:marTop w:val="0"/>
      <w:marBottom w:val="0"/>
      <w:divBdr>
        <w:top w:val="none" w:sz="0" w:space="0" w:color="auto"/>
        <w:left w:val="none" w:sz="0" w:space="0" w:color="auto"/>
        <w:bottom w:val="none" w:sz="0" w:space="0" w:color="auto"/>
        <w:right w:val="none" w:sz="0" w:space="0" w:color="auto"/>
      </w:divBdr>
    </w:div>
    <w:div w:id="782772943">
      <w:bodyDiv w:val="1"/>
      <w:marLeft w:val="0"/>
      <w:marRight w:val="0"/>
      <w:marTop w:val="0"/>
      <w:marBottom w:val="0"/>
      <w:divBdr>
        <w:top w:val="none" w:sz="0" w:space="0" w:color="auto"/>
        <w:left w:val="none" w:sz="0" w:space="0" w:color="auto"/>
        <w:bottom w:val="none" w:sz="0" w:space="0" w:color="auto"/>
        <w:right w:val="none" w:sz="0" w:space="0" w:color="auto"/>
      </w:divBdr>
      <w:divsChild>
        <w:div w:id="1305425940">
          <w:marLeft w:val="0"/>
          <w:marRight w:val="0"/>
          <w:marTop w:val="0"/>
          <w:marBottom w:val="0"/>
          <w:divBdr>
            <w:top w:val="none" w:sz="0" w:space="0" w:color="auto"/>
            <w:left w:val="none" w:sz="0" w:space="0" w:color="auto"/>
            <w:bottom w:val="none" w:sz="0" w:space="0" w:color="auto"/>
            <w:right w:val="none" w:sz="0" w:space="0" w:color="auto"/>
          </w:divBdr>
        </w:div>
        <w:div w:id="1687050801">
          <w:marLeft w:val="0"/>
          <w:marRight w:val="0"/>
          <w:marTop w:val="0"/>
          <w:marBottom w:val="0"/>
          <w:divBdr>
            <w:top w:val="none" w:sz="0" w:space="0" w:color="auto"/>
            <w:left w:val="none" w:sz="0" w:space="0" w:color="auto"/>
            <w:bottom w:val="none" w:sz="0" w:space="0" w:color="auto"/>
            <w:right w:val="none" w:sz="0" w:space="0" w:color="auto"/>
          </w:divBdr>
        </w:div>
        <w:div w:id="984890941">
          <w:marLeft w:val="0"/>
          <w:marRight w:val="0"/>
          <w:marTop w:val="0"/>
          <w:marBottom w:val="0"/>
          <w:divBdr>
            <w:top w:val="none" w:sz="0" w:space="0" w:color="auto"/>
            <w:left w:val="none" w:sz="0" w:space="0" w:color="auto"/>
            <w:bottom w:val="none" w:sz="0" w:space="0" w:color="auto"/>
            <w:right w:val="none" w:sz="0" w:space="0" w:color="auto"/>
          </w:divBdr>
        </w:div>
        <w:div w:id="1128620917">
          <w:marLeft w:val="0"/>
          <w:marRight w:val="0"/>
          <w:marTop w:val="0"/>
          <w:marBottom w:val="0"/>
          <w:divBdr>
            <w:top w:val="none" w:sz="0" w:space="0" w:color="auto"/>
            <w:left w:val="none" w:sz="0" w:space="0" w:color="auto"/>
            <w:bottom w:val="none" w:sz="0" w:space="0" w:color="auto"/>
            <w:right w:val="none" w:sz="0" w:space="0" w:color="auto"/>
          </w:divBdr>
        </w:div>
        <w:div w:id="846092808">
          <w:marLeft w:val="0"/>
          <w:marRight w:val="0"/>
          <w:marTop w:val="0"/>
          <w:marBottom w:val="0"/>
          <w:divBdr>
            <w:top w:val="none" w:sz="0" w:space="0" w:color="auto"/>
            <w:left w:val="none" w:sz="0" w:space="0" w:color="auto"/>
            <w:bottom w:val="none" w:sz="0" w:space="0" w:color="auto"/>
            <w:right w:val="none" w:sz="0" w:space="0" w:color="auto"/>
          </w:divBdr>
        </w:div>
        <w:div w:id="210920299">
          <w:marLeft w:val="0"/>
          <w:marRight w:val="0"/>
          <w:marTop w:val="0"/>
          <w:marBottom w:val="0"/>
          <w:divBdr>
            <w:top w:val="none" w:sz="0" w:space="0" w:color="auto"/>
            <w:left w:val="none" w:sz="0" w:space="0" w:color="auto"/>
            <w:bottom w:val="none" w:sz="0" w:space="0" w:color="auto"/>
            <w:right w:val="none" w:sz="0" w:space="0" w:color="auto"/>
          </w:divBdr>
        </w:div>
        <w:div w:id="927424079">
          <w:marLeft w:val="0"/>
          <w:marRight w:val="0"/>
          <w:marTop w:val="0"/>
          <w:marBottom w:val="0"/>
          <w:divBdr>
            <w:top w:val="none" w:sz="0" w:space="0" w:color="auto"/>
            <w:left w:val="none" w:sz="0" w:space="0" w:color="auto"/>
            <w:bottom w:val="none" w:sz="0" w:space="0" w:color="auto"/>
            <w:right w:val="none" w:sz="0" w:space="0" w:color="auto"/>
          </w:divBdr>
        </w:div>
      </w:divsChild>
    </w:div>
    <w:div w:id="1477994187">
      <w:bodyDiv w:val="1"/>
      <w:marLeft w:val="0"/>
      <w:marRight w:val="0"/>
      <w:marTop w:val="0"/>
      <w:marBottom w:val="0"/>
      <w:divBdr>
        <w:top w:val="none" w:sz="0" w:space="0" w:color="auto"/>
        <w:left w:val="none" w:sz="0" w:space="0" w:color="auto"/>
        <w:bottom w:val="none" w:sz="0" w:space="0" w:color="auto"/>
        <w:right w:val="none" w:sz="0" w:space="0" w:color="auto"/>
      </w:divBdr>
    </w:div>
    <w:div w:id="1683971198">
      <w:bodyDiv w:val="1"/>
      <w:marLeft w:val="0"/>
      <w:marRight w:val="0"/>
      <w:marTop w:val="0"/>
      <w:marBottom w:val="0"/>
      <w:divBdr>
        <w:top w:val="none" w:sz="0" w:space="0" w:color="auto"/>
        <w:left w:val="none" w:sz="0" w:space="0" w:color="auto"/>
        <w:bottom w:val="none" w:sz="0" w:space="0" w:color="auto"/>
        <w:right w:val="none" w:sz="0" w:space="0" w:color="auto"/>
      </w:divBdr>
    </w:div>
    <w:div w:id="1693071097">
      <w:bodyDiv w:val="1"/>
      <w:marLeft w:val="0"/>
      <w:marRight w:val="0"/>
      <w:marTop w:val="0"/>
      <w:marBottom w:val="0"/>
      <w:divBdr>
        <w:top w:val="none" w:sz="0" w:space="0" w:color="auto"/>
        <w:left w:val="none" w:sz="0" w:space="0" w:color="auto"/>
        <w:bottom w:val="none" w:sz="0" w:space="0" w:color="auto"/>
        <w:right w:val="none" w:sz="0" w:space="0" w:color="auto"/>
      </w:divBdr>
    </w:div>
    <w:div w:id="193265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journals.epublishing.ekt.gr/index.php/DAC/issue/viewIssue/1418/4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journals.epublishing.ekt.gr/index.php/DAC/issue/view/1418" TargetMode="External"/><Relationship Id="rId5" Type="http://schemas.openxmlformats.org/officeDocument/2006/relationships/styles" Target="styles.xml"/><Relationship Id="rId10" Type="http://schemas.openxmlformats.org/officeDocument/2006/relationships/hyperlink" Target="https://designlab.uniwa.gr/" TargetMode="External"/><Relationship Id="rId4" Type="http://schemas.openxmlformats.org/officeDocument/2006/relationships/numbering" Target="numbering.xml"/><Relationship Id="rId9" Type="http://schemas.openxmlformats.org/officeDocument/2006/relationships/hyperlink" Target="http://creativecommons.org/licenses/by/4.0/"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1228A734CAE1D547937DC19A6975A554" ma:contentTypeVersion="6" ma:contentTypeDescription="Δημιουργία νέου εγγράφου" ma:contentTypeScope="" ma:versionID="8a644b01683f4dfdacb4a580649db38b">
  <xsd:schema xmlns:xsd="http://www.w3.org/2001/XMLSchema" xmlns:xs="http://www.w3.org/2001/XMLSchema" xmlns:p="http://schemas.microsoft.com/office/2006/metadata/properties" xmlns:ns2="3aff5f09-b9c3-4fe2-8d30-9ce3fced6c74" xmlns:ns3="8cd0fe51-96fc-4da0-951c-0f6956d09b6c" targetNamespace="http://schemas.microsoft.com/office/2006/metadata/properties" ma:root="true" ma:fieldsID="98b3e5c46231b05cb1b8504673346369" ns2:_="" ns3:_="">
    <xsd:import namespace="3aff5f09-b9c3-4fe2-8d30-9ce3fced6c74"/>
    <xsd:import namespace="8cd0fe51-96fc-4da0-951c-0f6956d09b6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f5f09-b9c3-4fe2-8d30-9ce3fced6c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d0fe51-96fc-4da0-951c-0f6956d09b6c"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8336FA-23E9-4709-A07D-CB53CA0C6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6EBEC-A206-4E87-9004-5EB438970912}">
  <ds:schemaRefs>
    <ds:schemaRef ds:uri="http://schemas.microsoft.com/sharepoint/v3/contenttype/forms"/>
  </ds:schemaRefs>
</ds:datastoreItem>
</file>

<file path=customXml/itemProps3.xml><?xml version="1.0" encoding="utf-8"?>
<ds:datastoreItem xmlns:ds="http://schemas.openxmlformats.org/officeDocument/2006/customXml" ds:itemID="{80CC3E91-A573-4693-8299-E7042FC54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f5f09-b9c3-4fe2-8d30-9ce3fced6c74"/>
    <ds:schemaRef ds:uri="8cd0fe51-96fc-4da0-951c-0f6956d09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2786</Characters>
  <Application>Microsoft Office Word</Application>
  <DocSecurity>8</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ΡΩΣΣΕΤΟΣ ΜΕΤΖΗΤΑΚΟΣ</dc:creator>
  <cp:keywords/>
  <dc:description/>
  <cp:lastModifiedBy>ΡΩΣΣΕΤΟΣ ΜΕΤΖΗΤΑΚΟΣ</cp:lastModifiedBy>
  <cp:revision>2</cp:revision>
  <cp:lastPrinted>2020-06-26T08:49:00Z</cp:lastPrinted>
  <dcterms:created xsi:type="dcterms:W3CDTF">2020-06-26T08:50:00Z</dcterms:created>
  <dcterms:modified xsi:type="dcterms:W3CDTF">2020-06-26T08:50:00Z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0x0101001228A734CAE1D547937DC19A6975A554</vt:lpwstr>
  </property>
</Properties>
</file>